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E65C" w14:textId="6DDE3145" w:rsidR="003C58C7" w:rsidRPr="00F80129" w:rsidRDefault="00F80129">
      <w:pPr>
        <w:rPr>
          <w:rFonts w:ascii="Calibri" w:hAnsi="Calibri" w:cs="Calibri"/>
          <w:b/>
          <w:bCs/>
          <w:szCs w:val="22"/>
        </w:rPr>
      </w:pPr>
      <w:r w:rsidRPr="00F80129">
        <w:rPr>
          <w:rFonts w:ascii="Calibri" w:hAnsi="Calibri" w:cs="Calibri"/>
          <w:b/>
          <w:bCs/>
          <w:szCs w:val="22"/>
        </w:rPr>
        <w:t>Review of HLNT Consequence Rating Guide</w:t>
      </w:r>
    </w:p>
    <w:p w14:paraId="5A4C3DCF" w14:textId="2C8E6E7E" w:rsidR="00F80129" w:rsidRPr="00935369" w:rsidRDefault="00F80129" w:rsidP="00F80129">
      <w:pPr>
        <w:spacing w:before="120" w:after="120"/>
        <w:jc w:val="both"/>
        <w:rPr>
          <w:rFonts w:ascii="Calibri" w:hAnsi="Calibri"/>
          <w:szCs w:val="22"/>
        </w:rPr>
      </w:pPr>
      <w:r>
        <w:rPr>
          <w:rFonts w:ascii="Calibri" w:hAnsi="Calibri"/>
          <w:szCs w:val="22"/>
        </w:rPr>
        <w:t>GPC 4/25 noted that the Consequence Rating Matrix used in the Business Continuity Plan was more explicit than the one currently adopted in HLNT’s Risk Review. The GPC agreed to review both risk matrixes in the context of their underlying purposes at the first GPC meeting in 2026 to determine if commonality was desirable.</w:t>
      </w:r>
    </w:p>
    <w:p w14:paraId="4F6831EF" w14:textId="73C55D11" w:rsidR="00F80129" w:rsidRPr="00F80129" w:rsidRDefault="00F80129">
      <w:pPr>
        <w:rPr>
          <w:rFonts w:ascii="Calibri" w:hAnsi="Calibri" w:cs="Calibri"/>
          <w:b/>
          <w:bCs/>
          <w:szCs w:val="22"/>
        </w:rPr>
      </w:pPr>
      <w:r w:rsidRPr="00F80129">
        <w:rPr>
          <w:rFonts w:ascii="Calibri" w:hAnsi="Calibri" w:cs="Calibri"/>
          <w:b/>
          <w:bCs/>
          <w:szCs w:val="22"/>
        </w:rPr>
        <w:t xml:space="preserve">Extract – HLNT Risk Review </w:t>
      </w:r>
    </w:p>
    <w:tbl>
      <w:tblPr>
        <w:tblStyle w:val="TableGrid"/>
        <w:tblW w:w="0" w:type="auto"/>
        <w:tblLook w:val="01E0" w:firstRow="1" w:lastRow="1" w:firstColumn="1" w:lastColumn="1" w:noHBand="0" w:noVBand="0"/>
      </w:tblPr>
      <w:tblGrid>
        <w:gridCol w:w="1494"/>
        <w:gridCol w:w="1408"/>
        <w:gridCol w:w="1521"/>
        <w:gridCol w:w="1570"/>
        <w:gridCol w:w="1507"/>
        <w:gridCol w:w="1473"/>
      </w:tblGrid>
      <w:tr w:rsidR="00F80129" w:rsidRPr="00F80129" w14:paraId="0034C2A9" w14:textId="77777777" w:rsidTr="00391651">
        <w:tc>
          <w:tcPr>
            <w:tcW w:w="13562" w:type="dxa"/>
            <w:gridSpan w:val="6"/>
            <w:tcBorders>
              <w:top w:val="single" w:sz="18" w:space="0" w:color="FFFFFF"/>
              <w:left w:val="single" w:sz="24" w:space="0" w:color="auto"/>
              <w:bottom w:val="single" w:sz="18" w:space="0" w:color="FFFFFF"/>
              <w:right w:val="single" w:sz="18" w:space="0" w:color="FFFFFF"/>
            </w:tcBorders>
            <w:shd w:val="clear" w:color="auto" w:fill="800080"/>
          </w:tcPr>
          <w:p w14:paraId="6A7AB313" w14:textId="77777777" w:rsidR="00F80129" w:rsidRPr="00F80129" w:rsidRDefault="00F80129" w:rsidP="00391651">
            <w:pPr>
              <w:spacing w:before="240" w:after="240"/>
              <w:jc w:val="center"/>
              <w:rPr>
                <w:rFonts w:ascii="Calibri" w:hAnsi="Calibri" w:cs="Calibri"/>
                <w:b/>
                <w:color w:val="FFFFFF"/>
                <w:sz w:val="20"/>
              </w:rPr>
            </w:pPr>
            <w:r w:rsidRPr="00F80129">
              <w:rPr>
                <w:rFonts w:ascii="Calibri" w:hAnsi="Calibri" w:cs="Calibri"/>
                <w:b/>
                <w:color w:val="FFFFFF"/>
                <w:sz w:val="20"/>
              </w:rPr>
              <w:t>Determination of Consequence Rating</w:t>
            </w:r>
          </w:p>
        </w:tc>
      </w:tr>
      <w:tr w:rsidR="00F80129" w:rsidRPr="00F80129" w14:paraId="0FB1343A" w14:textId="77777777" w:rsidTr="00391651">
        <w:tc>
          <w:tcPr>
            <w:tcW w:w="2260" w:type="dxa"/>
            <w:tcBorders>
              <w:top w:val="single" w:sz="18" w:space="0" w:color="FFFFFF"/>
              <w:left w:val="single" w:sz="12" w:space="0" w:color="C0C0C0"/>
              <w:bottom w:val="single" w:sz="18" w:space="0" w:color="FFFFFF"/>
              <w:right w:val="single" w:sz="8" w:space="0" w:color="C0C0C0"/>
              <w:tl2br w:val="single" w:sz="8" w:space="0" w:color="C0C0C0"/>
            </w:tcBorders>
            <w:shd w:val="clear" w:color="auto" w:fill="FFFFFF"/>
          </w:tcPr>
          <w:p w14:paraId="031C904F" w14:textId="77777777" w:rsidR="00F80129" w:rsidRPr="00F80129" w:rsidRDefault="00F80129" w:rsidP="00391651">
            <w:pPr>
              <w:spacing w:before="120" w:after="120"/>
              <w:jc w:val="right"/>
              <w:rPr>
                <w:rFonts w:ascii="Calibri" w:hAnsi="Calibri" w:cs="Calibri"/>
                <w:b/>
                <w:sz w:val="20"/>
              </w:rPr>
            </w:pPr>
            <w:r w:rsidRPr="00F80129">
              <w:rPr>
                <w:rFonts w:ascii="Calibri" w:hAnsi="Calibri" w:cs="Calibri"/>
                <w:b/>
                <w:sz w:val="20"/>
              </w:rPr>
              <w:t>Consequence Category</w:t>
            </w:r>
          </w:p>
          <w:p w14:paraId="79D8E20A" w14:textId="77777777" w:rsidR="00F80129" w:rsidRPr="00F80129" w:rsidRDefault="00F80129" w:rsidP="00391651">
            <w:pPr>
              <w:spacing w:before="120" w:after="120"/>
              <w:rPr>
                <w:rFonts w:ascii="Calibri" w:hAnsi="Calibri" w:cs="Calibri"/>
                <w:b/>
                <w:sz w:val="20"/>
              </w:rPr>
            </w:pPr>
            <w:r w:rsidRPr="00F80129">
              <w:rPr>
                <w:rFonts w:ascii="Calibri" w:hAnsi="Calibri" w:cs="Calibri"/>
                <w:b/>
                <w:sz w:val="20"/>
              </w:rPr>
              <w:t>Consequence</w:t>
            </w:r>
          </w:p>
        </w:tc>
        <w:tc>
          <w:tcPr>
            <w:tcW w:w="2260" w:type="dxa"/>
            <w:tcBorders>
              <w:top w:val="single" w:sz="18" w:space="0" w:color="FFFFFF"/>
              <w:left w:val="single" w:sz="8" w:space="0" w:color="C0C0C0"/>
              <w:bottom w:val="nil"/>
              <w:right w:val="single" w:sz="8" w:space="0" w:color="C0C0C0"/>
              <w:tl2br w:val="nil"/>
            </w:tcBorders>
            <w:shd w:val="clear" w:color="auto" w:fill="99CCFF"/>
          </w:tcPr>
          <w:p w14:paraId="1064A2D1" w14:textId="77777777" w:rsidR="00F80129" w:rsidRPr="00F80129" w:rsidRDefault="00F80129" w:rsidP="00391651">
            <w:pPr>
              <w:tabs>
                <w:tab w:val="center" w:pos="787"/>
              </w:tabs>
              <w:spacing w:before="240" w:after="240"/>
              <w:jc w:val="center"/>
              <w:rPr>
                <w:rFonts w:ascii="Calibri" w:hAnsi="Calibri" w:cs="Calibri"/>
                <w:b/>
                <w:sz w:val="20"/>
              </w:rPr>
            </w:pPr>
            <w:r w:rsidRPr="00F80129">
              <w:rPr>
                <w:rFonts w:ascii="Calibri" w:hAnsi="Calibri" w:cs="Calibri"/>
                <w:b/>
                <w:sz w:val="20"/>
              </w:rPr>
              <w:t>I</w:t>
            </w:r>
            <w:r w:rsidRPr="00F80129">
              <w:rPr>
                <w:rFonts w:ascii="Calibri" w:hAnsi="Calibri" w:cs="Calibri"/>
                <w:b/>
                <w:sz w:val="20"/>
                <w:shd w:val="clear" w:color="auto" w:fill="99CCFF"/>
              </w:rPr>
              <w:t>nsignificant</w:t>
            </w:r>
          </w:p>
        </w:tc>
        <w:tc>
          <w:tcPr>
            <w:tcW w:w="2260" w:type="dxa"/>
            <w:tcBorders>
              <w:top w:val="single" w:sz="18" w:space="0" w:color="FFFFFF"/>
              <w:left w:val="single" w:sz="8" w:space="0" w:color="C0C0C0"/>
              <w:bottom w:val="nil"/>
              <w:right w:val="single" w:sz="8" w:space="0" w:color="C0C0C0"/>
              <w:tl2br w:val="nil"/>
            </w:tcBorders>
            <w:shd w:val="clear" w:color="auto" w:fill="00CCFF"/>
          </w:tcPr>
          <w:p w14:paraId="7FC6F607" w14:textId="77777777" w:rsidR="00F80129" w:rsidRPr="00F80129" w:rsidRDefault="00F80129" w:rsidP="00391651">
            <w:pPr>
              <w:spacing w:before="240" w:after="240"/>
              <w:jc w:val="center"/>
              <w:rPr>
                <w:rFonts w:ascii="Calibri" w:hAnsi="Calibri" w:cs="Calibri"/>
                <w:b/>
                <w:sz w:val="20"/>
              </w:rPr>
            </w:pPr>
            <w:r w:rsidRPr="00F80129">
              <w:rPr>
                <w:rFonts w:ascii="Calibri" w:hAnsi="Calibri" w:cs="Calibri"/>
                <w:b/>
                <w:sz w:val="20"/>
              </w:rPr>
              <w:t>Minor</w:t>
            </w:r>
          </w:p>
        </w:tc>
        <w:tc>
          <w:tcPr>
            <w:tcW w:w="2260" w:type="dxa"/>
            <w:tcBorders>
              <w:top w:val="single" w:sz="18" w:space="0" w:color="FFFFFF"/>
              <w:left w:val="single" w:sz="8" w:space="0" w:color="C0C0C0"/>
              <w:bottom w:val="nil"/>
              <w:right w:val="single" w:sz="8" w:space="0" w:color="C0C0C0"/>
              <w:tl2br w:val="nil"/>
            </w:tcBorders>
            <w:shd w:val="clear" w:color="auto" w:fill="3366FF"/>
          </w:tcPr>
          <w:p w14:paraId="0ED95D09" w14:textId="77777777" w:rsidR="00F80129" w:rsidRPr="00F80129" w:rsidRDefault="00F80129" w:rsidP="00391651">
            <w:pPr>
              <w:spacing w:before="240" w:after="240"/>
              <w:jc w:val="center"/>
              <w:rPr>
                <w:rFonts w:ascii="Calibri" w:hAnsi="Calibri" w:cs="Calibri"/>
                <w:b/>
                <w:color w:val="FFFFFF"/>
                <w:sz w:val="20"/>
              </w:rPr>
            </w:pPr>
            <w:r w:rsidRPr="00F80129">
              <w:rPr>
                <w:rFonts w:ascii="Calibri" w:hAnsi="Calibri" w:cs="Calibri"/>
                <w:b/>
                <w:color w:val="FFFFFF"/>
                <w:sz w:val="20"/>
              </w:rPr>
              <w:t>Moderate</w:t>
            </w:r>
          </w:p>
        </w:tc>
        <w:tc>
          <w:tcPr>
            <w:tcW w:w="2261" w:type="dxa"/>
            <w:tcBorders>
              <w:top w:val="single" w:sz="18" w:space="0" w:color="FFFFFF"/>
              <w:left w:val="single" w:sz="8" w:space="0" w:color="C0C0C0"/>
              <w:bottom w:val="nil"/>
              <w:right w:val="single" w:sz="8" w:space="0" w:color="C0C0C0"/>
              <w:tl2br w:val="nil"/>
            </w:tcBorders>
            <w:shd w:val="clear" w:color="auto" w:fill="0000FF"/>
          </w:tcPr>
          <w:p w14:paraId="43D2EABA" w14:textId="77777777" w:rsidR="00F80129" w:rsidRPr="00F80129" w:rsidRDefault="00F80129" w:rsidP="00391651">
            <w:pPr>
              <w:spacing w:before="240" w:after="240"/>
              <w:jc w:val="center"/>
              <w:rPr>
                <w:rFonts w:ascii="Calibri" w:hAnsi="Calibri" w:cs="Calibri"/>
                <w:b/>
                <w:color w:val="FFFFFF"/>
                <w:sz w:val="20"/>
              </w:rPr>
            </w:pPr>
            <w:r w:rsidRPr="00F80129">
              <w:rPr>
                <w:rFonts w:ascii="Calibri" w:hAnsi="Calibri" w:cs="Calibri"/>
                <w:b/>
                <w:color w:val="FFFFFF"/>
                <w:sz w:val="20"/>
              </w:rPr>
              <w:t>Major</w:t>
            </w:r>
          </w:p>
        </w:tc>
        <w:tc>
          <w:tcPr>
            <w:tcW w:w="2261" w:type="dxa"/>
            <w:tcBorders>
              <w:top w:val="single" w:sz="18" w:space="0" w:color="FFFFFF"/>
              <w:left w:val="single" w:sz="8" w:space="0" w:color="C0C0C0"/>
              <w:bottom w:val="nil"/>
              <w:right w:val="single" w:sz="12" w:space="0" w:color="C0C0C0"/>
              <w:tl2br w:val="nil"/>
            </w:tcBorders>
            <w:shd w:val="clear" w:color="auto" w:fill="000080"/>
          </w:tcPr>
          <w:p w14:paraId="0D83ADDA" w14:textId="77777777" w:rsidR="00F80129" w:rsidRPr="00F80129" w:rsidRDefault="00F80129" w:rsidP="00391651">
            <w:pPr>
              <w:spacing w:before="240" w:after="240"/>
              <w:jc w:val="center"/>
              <w:rPr>
                <w:rFonts w:ascii="Calibri" w:hAnsi="Calibri" w:cs="Calibri"/>
                <w:b/>
                <w:sz w:val="20"/>
              </w:rPr>
            </w:pPr>
            <w:r w:rsidRPr="00F80129">
              <w:rPr>
                <w:rFonts w:ascii="Calibri" w:hAnsi="Calibri" w:cs="Calibri"/>
                <w:b/>
                <w:sz w:val="20"/>
              </w:rPr>
              <w:t>Extreme</w:t>
            </w:r>
          </w:p>
        </w:tc>
      </w:tr>
      <w:tr w:rsidR="00F80129" w:rsidRPr="00F80129" w14:paraId="272009D1" w14:textId="77777777" w:rsidTr="00391651">
        <w:tc>
          <w:tcPr>
            <w:tcW w:w="2260" w:type="dxa"/>
            <w:tcBorders>
              <w:top w:val="single" w:sz="18" w:space="0" w:color="FFFFFF"/>
              <w:left w:val="single" w:sz="24" w:space="0" w:color="auto"/>
              <w:bottom w:val="nil"/>
              <w:right w:val="single" w:sz="18" w:space="0" w:color="FFFFFF"/>
            </w:tcBorders>
            <w:shd w:val="clear" w:color="auto" w:fill="CC99FF"/>
          </w:tcPr>
          <w:p w14:paraId="1C2D591C" w14:textId="77777777" w:rsidR="00F80129" w:rsidRPr="00F80129" w:rsidRDefault="00F80129" w:rsidP="00391651">
            <w:pPr>
              <w:spacing w:before="120" w:after="120"/>
              <w:rPr>
                <w:rFonts w:ascii="Calibri" w:hAnsi="Calibri" w:cs="Calibri"/>
                <w:b/>
                <w:sz w:val="20"/>
              </w:rPr>
            </w:pPr>
            <w:r w:rsidRPr="00F80129">
              <w:rPr>
                <w:rFonts w:ascii="Calibri" w:hAnsi="Calibri" w:cs="Calibri"/>
                <w:b/>
                <w:sz w:val="20"/>
              </w:rPr>
              <w:t>Source of funding</w:t>
            </w:r>
          </w:p>
        </w:tc>
        <w:tc>
          <w:tcPr>
            <w:tcW w:w="2260" w:type="dxa"/>
            <w:tcBorders>
              <w:top w:val="nil"/>
              <w:left w:val="single" w:sz="18" w:space="0" w:color="FFFFFF"/>
              <w:bottom w:val="single" w:sz="8" w:space="0" w:color="C0C0C0"/>
              <w:right w:val="single" w:sz="8" w:space="0" w:color="C0C0C0"/>
            </w:tcBorders>
          </w:tcPr>
          <w:p w14:paraId="12C037F4"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Minor funding cut</w:t>
            </w:r>
          </w:p>
        </w:tc>
        <w:tc>
          <w:tcPr>
            <w:tcW w:w="2260" w:type="dxa"/>
            <w:tcBorders>
              <w:top w:val="nil"/>
              <w:left w:val="single" w:sz="8" w:space="0" w:color="C0C0C0"/>
              <w:bottom w:val="single" w:sz="8" w:space="0" w:color="C0C0C0"/>
              <w:right w:val="single" w:sz="8" w:space="0" w:color="C0C0C0"/>
            </w:tcBorders>
          </w:tcPr>
          <w:p w14:paraId="732F48A1"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An event which leads to a delay or reduction in funding and cannot be offset by other fund sources</w:t>
            </w:r>
          </w:p>
        </w:tc>
        <w:tc>
          <w:tcPr>
            <w:tcW w:w="2260" w:type="dxa"/>
            <w:tcBorders>
              <w:top w:val="nil"/>
              <w:left w:val="single" w:sz="8" w:space="0" w:color="C0C0C0"/>
              <w:bottom w:val="single" w:sz="8" w:space="0" w:color="C0C0C0"/>
              <w:right w:val="single" w:sz="8" w:space="0" w:color="C0C0C0"/>
            </w:tcBorders>
          </w:tcPr>
          <w:p w14:paraId="78024325"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 significant event which leads to permanent loss of funding. (Over 10%)</w:t>
            </w:r>
          </w:p>
        </w:tc>
        <w:tc>
          <w:tcPr>
            <w:tcW w:w="2261" w:type="dxa"/>
            <w:tcBorders>
              <w:top w:val="nil"/>
              <w:left w:val="single" w:sz="8" w:space="0" w:color="C0C0C0"/>
              <w:bottom w:val="single" w:sz="8" w:space="0" w:color="C0C0C0"/>
              <w:right w:val="single" w:sz="8" w:space="0" w:color="C0C0C0"/>
            </w:tcBorders>
          </w:tcPr>
          <w:p w14:paraId="09D6C99F"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 critical cut to the amount of budgeted funding. (Over 25%)</w:t>
            </w:r>
          </w:p>
        </w:tc>
        <w:tc>
          <w:tcPr>
            <w:tcW w:w="2261" w:type="dxa"/>
            <w:tcBorders>
              <w:top w:val="nil"/>
              <w:left w:val="single" w:sz="8" w:space="0" w:color="C0C0C0"/>
              <w:bottom w:val="single" w:sz="8" w:space="0" w:color="C0C0C0"/>
              <w:right w:val="single" w:sz="12" w:space="0" w:color="C0C0C0"/>
            </w:tcBorders>
          </w:tcPr>
          <w:p w14:paraId="100190E3"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Funding ceases all together.</w:t>
            </w:r>
          </w:p>
        </w:tc>
      </w:tr>
      <w:tr w:rsidR="00F80129" w:rsidRPr="00F80129" w14:paraId="580C1640" w14:textId="77777777" w:rsidTr="00391651">
        <w:tc>
          <w:tcPr>
            <w:tcW w:w="2260" w:type="dxa"/>
            <w:tcBorders>
              <w:top w:val="nil"/>
              <w:left w:val="single" w:sz="24" w:space="0" w:color="auto"/>
              <w:bottom w:val="nil"/>
              <w:right w:val="single" w:sz="18" w:space="0" w:color="FFFFFF"/>
            </w:tcBorders>
            <w:shd w:val="clear" w:color="auto" w:fill="CC99FF"/>
          </w:tcPr>
          <w:p w14:paraId="132556FE" w14:textId="77777777" w:rsidR="00F80129" w:rsidRPr="00F80129" w:rsidRDefault="00F80129" w:rsidP="00391651">
            <w:pPr>
              <w:spacing w:before="120" w:after="120"/>
              <w:rPr>
                <w:rFonts w:ascii="Calibri" w:hAnsi="Calibri" w:cs="Calibri"/>
                <w:b/>
                <w:sz w:val="20"/>
              </w:rPr>
            </w:pPr>
            <w:r w:rsidRPr="00F80129">
              <w:rPr>
                <w:rFonts w:ascii="Calibri" w:hAnsi="Calibri" w:cs="Calibri"/>
                <w:b/>
                <w:sz w:val="20"/>
              </w:rPr>
              <w:t>Reputation</w:t>
            </w:r>
          </w:p>
        </w:tc>
        <w:tc>
          <w:tcPr>
            <w:tcW w:w="2260" w:type="dxa"/>
            <w:tcBorders>
              <w:top w:val="single" w:sz="8" w:space="0" w:color="C0C0C0"/>
              <w:left w:val="single" w:sz="18" w:space="0" w:color="FFFFFF"/>
              <w:bottom w:val="single" w:sz="8" w:space="0" w:color="C0C0C0"/>
              <w:right w:val="single" w:sz="8" w:space="0" w:color="C0C0C0"/>
            </w:tcBorders>
          </w:tcPr>
          <w:p w14:paraId="1A870D5E"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Letters or minor articles in local press.</w:t>
            </w:r>
          </w:p>
        </w:tc>
        <w:tc>
          <w:tcPr>
            <w:tcW w:w="2260" w:type="dxa"/>
            <w:tcBorders>
              <w:top w:val="single" w:sz="8" w:space="0" w:color="C0C0C0"/>
              <w:left w:val="single" w:sz="8" w:space="0" w:color="C0C0C0"/>
              <w:bottom w:val="single" w:sz="8" w:space="0" w:color="C0C0C0"/>
              <w:right w:val="single" w:sz="8" w:space="0" w:color="C0C0C0"/>
            </w:tcBorders>
          </w:tcPr>
          <w:p w14:paraId="4A188060"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Series of articles in local press.</w:t>
            </w:r>
          </w:p>
        </w:tc>
        <w:tc>
          <w:tcPr>
            <w:tcW w:w="2260" w:type="dxa"/>
            <w:tcBorders>
              <w:top w:val="single" w:sz="8" w:space="0" w:color="C0C0C0"/>
              <w:left w:val="single" w:sz="8" w:space="0" w:color="C0C0C0"/>
              <w:bottom w:val="single" w:sz="8" w:space="0" w:color="C0C0C0"/>
              <w:right w:val="single" w:sz="8" w:space="0" w:color="C0C0C0"/>
            </w:tcBorders>
          </w:tcPr>
          <w:p w14:paraId="2901C9AE"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Short term Territory-wide or extensive local negative media coverage.</w:t>
            </w:r>
          </w:p>
        </w:tc>
        <w:tc>
          <w:tcPr>
            <w:tcW w:w="2261" w:type="dxa"/>
            <w:tcBorders>
              <w:top w:val="single" w:sz="8" w:space="0" w:color="C0C0C0"/>
              <w:left w:val="single" w:sz="8" w:space="0" w:color="C0C0C0"/>
              <w:bottom w:val="single" w:sz="8" w:space="0" w:color="C0C0C0"/>
              <w:right w:val="single" w:sz="8" w:space="0" w:color="C0C0C0"/>
            </w:tcBorders>
          </w:tcPr>
          <w:p w14:paraId="44A2D3C7"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Extensive Territory wide negative media coverage</w:t>
            </w:r>
          </w:p>
        </w:tc>
        <w:tc>
          <w:tcPr>
            <w:tcW w:w="2261" w:type="dxa"/>
            <w:tcBorders>
              <w:top w:val="single" w:sz="8" w:space="0" w:color="C0C0C0"/>
              <w:left w:val="single" w:sz="8" w:space="0" w:color="C0C0C0"/>
              <w:bottom w:val="single" w:sz="8" w:space="0" w:color="C0C0C0"/>
              <w:right w:val="single" w:sz="12" w:space="0" w:color="C0C0C0"/>
            </w:tcBorders>
          </w:tcPr>
          <w:p w14:paraId="35A362A5"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 xml:space="preserve">Extensive </w:t>
            </w:r>
            <w:proofErr w:type="spellStart"/>
            <w:r w:rsidRPr="00F80129">
              <w:rPr>
                <w:rFonts w:ascii="Calibri" w:hAnsi="Calibri" w:cs="Calibri"/>
                <w:sz w:val="20"/>
              </w:rPr>
              <w:t>nation wide</w:t>
            </w:r>
            <w:proofErr w:type="spellEnd"/>
            <w:r w:rsidRPr="00F80129">
              <w:rPr>
                <w:rFonts w:ascii="Calibri" w:hAnsi="Calibri" w:cs="Calibri"/>
                <w:sz w:val="20"/>
              </w:rPr>
              <w:t xml:space="preserve"> negative media coverage.</w:t>
            </w:r>
          </w:p>
        </w:tc>
      </w:tr>
      <w:tr w:rsidR="00F80129" w:rsidRPr="00F80129" w14:paraId="2FD68CF5" w14:textId="77777777" w:rsidTr="00391651">
        <w:tc>
          <w:tcPr>
            <w:tcW w:w="2260" w:type="dxa"/>
            <w:tcBorders>
              <w:top w:val="nil"/>
              <w:left w:val="single" w:sz="24" w:space="0" w:color="auto"/>
              <w:bottom w:val="nil"/>
              <w:right w:val="single" w:sz="18" w:space="0" w:color="FFFFFF"/>
            </w:tcBorders>
            <w:shd w:val="clear" w:color="auto" w:fill="CC99FF"/>
          </w:tcPr>
          <w:p w14:paraId="62BE8BEF" w14:textId="77777777" w:rsidR="00F80129" w:rsidRPr="00F80129" w:rsidRDefault="00F80129" w:rsidP="00391651">
            <w:pPr>
              <w:spacing w:before="120" w:after="120"/>
              <w:rPr>
                <w:rFonts w:ascii="Calibri" w:hAnsi="Calibri" w:cs="Calibri"/>
                <w:b/>
                <w:sz w:val="20"/>
              </w:rPr>
            </w:pPr>
            <w:r w:rsidRPr="00F80129">
              <w:rPr>
                <w:rFonts w:ascii="Calibri" w:hAnsi="Calibri" w:cs="Calibri"/>
                <w:b/>
                <w:sz w:val="20"/>
              </w:rPr>
              <w:t>Regulatory</w:t>
            </w:r>
          </w:p>
        </w:tc>
        <w:tc>
          <w:tcPr>
            <w:tcW w:w="2260" w:type="dxa"/>
            <w:tcBorders>
              <w:top w:val="single" w:sz="8" w:space="0" w:color="C0C0C0"/>
              <w:left w:val="single" w:sz="18" w:space="0" w:color="FFFFFF"/>
              <w:bottom w:val="single" w:sz="8" w:space="0" w:color="C0C0C0"/>
              <w:right w:val="single" w:sz="8" w:space="0" w:color="C0C0C0"/>
            </w:tcBorders>
          </w:tcPr>
          <w:p w14:paraId="430B453D"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Minor breaches by individual staff members.</w:t>
            </w:r>
          </w:p>
        </w:tc>
        <w:tc>
          <w:tcPr>
            <w:tcW w:w="2260" w:type="dxa"/>
            <w:tcBorders>
              <w:top w:val="single" w:sz="8" w:space="0" w:color="C0C0C0"/>
              <w:left w:val="single" w:sz="8" w:space="0" w:color="C0C0C0"/>
              <w:bottom w:val="single" w:sz="8" w:space="0" w:color="C0C0C0"/>
              <w:right w:val="single" w:sz="8" w:space="0" w:color="C0C0C0"/>
            </w:tcBorders>
          </w:tcPr>
          <w:p w14:paraId="226C00D7"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No Fine – no disruption to operations.</w:t>
            </w:r>
          </w:p>
        </w:tc>
        <w:tc>
          <w:tcPr>
            <w:tcW w:w="2260" w:type="dxa"/>
            <w:tcBorders>
              <w:top w:val="single" w:sz="8" w:space="0" w:color="C0C0C0"/>
              <w:left w:val="single" w:sz="8" w:space="0" w:color="C0C0C0"/>
              <w:bottom w:val="single" w:sz="8" w:space="0" w:color="C0C0C0"/>
              <w:right w:val="single" w:sz="8" w:space="0" w:color="C0C0C0"/>
            </w:tcBorders>
          </w:tcPr>
          <w:p w14:paraId="2468FD1E"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Fine, but no disruption to operations.</w:t>
            </w:r>
          </w:p>
        </w:tc>
        <w:tc>
          <w:tcPr>
            <w:tcW w:w="2261" w:type="dxa"/>
            <w:tcBorders>
              <w:top w:val="single" w:sz="8" w:space="0" w:color="C0C0C0"/>
              <w:left w:val="single" w:sz="8" w:space="0" w:color="C0C0C0"/>
              <w:bottom w:val="single" w:sz="8" w:space="0" w:color="C0C0C0"/>
              <w:right w:val="single" w:sz="8" w:space="0" w:color="C0C0C0"/>
            </w:tcBorders>
          </w:tcPr>
          <w:p w14:paraId="6AC32689"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 xml:space="preserve">Fine and disruption to operations. </w:t>
            </w:r>
          </w:p>
        </w:tc>
        <w:tc>
          <w:tcPr>
            <w:tcW w:w="2261" w:type="dxa"/>
            <w:tcBorders>
              <w:top w:val="single" w:sz="8" w:space="0" w:color="C0C0C0"/>
              <w:left w:val="single" w:sz="8" w:space="0" w:color="C0C0C0"/>
              <w:bottom w:val="single" w:sz="8" w:space="0" w:color="C0C0C0"/>
              <w:right w:val="single" w:sz="12" w:space="0" w:color="C0C0C0"/>
            </w:tcBorders>
          </w:tcPr>
          <w:p w14:paraId="5BAA5047"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 xml:space="preserve">Significant disruption to operations over an extended </w:t>
            </w:r>
            <w:proofErr w:type="gramStart"/>
            <w:r w:rsidRPr="00F80129">
              <w:rPr>
                <w:rFonts w:ascii="Calibri" w:hAnsi="Calibri" w:cs="Calibri"/>
                <w:sz w:val="20"/>
              </w:rPr>
              <w:t>period of time</w:t>
            </w:r>
            <w:proofErr w:type="gramEnd"/>
            <w:r w:rsidRPr="00F80129">
              <w:rPr>
                <w:rFonts w:ascii="Calibri" w:hAnsi="Calibri" w:cs="Calibri"/>
                <w:sz w:val="20"/>
              </w:rPr>
              <w:t>.</w:t>
            </w:r>
          </w:p>
        </w:tc>
      </w:tr>
      <w:tr w:rsidR="00F80129" w:rsidRPr="00F80129" w14:paraId="1BB49543" w14:textId="77777777" w:rsidTr="00391651">
        <w:tc>
          <w:tcPr>
            <w:tcW w:w="2260" w:type="dxa"/>
            <w:tcBorders>
              <w:top w:val="nil"/>
              <w:left w:val="single" w:sz="24" w:space="0" w:color="auto"/>
              <w:bottom w:val="nil"/>
              <w:right w:val="single" w:sz="18" w:space="0" w:color="FFFFFF"/>
            </w:tcBorders>
            <w:shd w:val="clear" w:color="auto" w:fill="CC99FF"/>
          </w:tcPr>
          <w:p w14:paraId="54EA72B0" w14:textId="77777777" w:rsidR="00F80129" w:rsidRPr="00F80129" w:rsidRDefault="00F80129" w:rsidP="00391651">
            <w:pPr>
              <w:spacing w:before="120" w:after="120"/>
              <w:rPr>
                <w:rFonts w:ascii="Calibri" w:hAnsi="Calibri" w:cs="Calibri"/>
                <w:b/>
                <w:sz w:val="20"/>
              </w:rPr>
            </w:pPr>
            <w:r w:rsidRPr="00F80129">
              <w:rPr>
                <w:rFonts w:ascii="Calibri" w:hAnsi="Calibri" w:cs="Calibri"/>
                <w:b/>
                <w:sz w:val="20"/>
              </w:rPr>
              <w:t>Management Effort</w:t>
            </w:r>
          </w:p>
        </w:tc>
        <w:tc>
          <w:tcPr>
            <w:tcW w:w="2260" w:type="dxa"/>
            <w:tcBorders>
              <w:top w:val="single" w:sz="8" w:space="0" w:color="C0C0C0"/>
              <w:left w:val="single" w:sz="18" w:space="0" w:color="FFFFFF"/>
              <w:bottom w:val="single" w:sz="8" w:space="0" w:color="C0C0C0"/>
              <w:right w:val="single" w:sz="8" w:space="0" w:color="C0C0C0"/>
            </w:tcBorders>
          </w:tcPr>
          <w:p w14:paraId="413EA20E"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An event, the impact of which can be absorbed through normal activity.</w:t>
            </w:r>
          </w:p>
        </w:tc>
        <w:tc>
          <w:tcPr>
            <w:tcW w:w="2260" w:type="dxa"/>
            <w:tcBorders>
              <w:top w:val="single" w:sz="8" w:space="0" w:color="C0C0C0"/>
              <w:left w:val="single" w:sz="8" w:space="0" w:color="C0C0C0"/>
              <w:bottom w:val="single" w:sz="8" w:space="0" w:color="C0C0C0"/>
              <w:right w:val="single" w:sz="8" w:space="0" w:color="C0C0C0"/>
            </w:tcBorders>
          </w:tcPr>
          <w:p w14:paraId="1ADBBDF1"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An event, the consequences of which can be absorbed but full management effort is required to minimize the impact.</w:t>
            </w:r>
          </w:p>
        </w:tc>
        <w:tc>
          <w:tcPr>
            <w:tcW w:w="2260" w:type="dxa"/>
            <w:tcBorders>
              <w:top w:val="single" w:sz="8" w:space="0" w:color="C0C0C0"/>
              <w:left w:val="single" w:sz="8" w:space="0" w:color="C0C0C0"/>
              <w:bottom w:val="single" w:sz="8" w:space="0" w:color="C0C0C0"/>
              <w:right w:val="single" w:sz="8" w:space="0" w:color="C0C0C0"/>
            </w:tcBorders>
          </w:tcPr>
          <w:p w14:paraId="7B128BA2"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 significant event which can be managed under normal circumstances.</w:t>
            </w:r>
          </w:p>
        </w:tc>
        <w:tc>
          <w:tcPr>
            <w:tcW w:w="2261" w:type="dxa"/>
            <w:tcBorders>
              <w:top w:val="single" w:sz="8" w:space="0" w:color="C0C0C0"/>
              <w:left w:val="single" w:sz="8" w:space="0" w:color="C0C0C0"/>
              <w:bottom w:val="single" w:sz="8" w:space="0" w:color="C0C0C0"/>
              <w:right w:val="single" w:sz="8" w:space="0" w:color="C0C0C0"/>
            </w:tcBorders>
          </w:tcPr>
          <w:p w14:paraId="1183B1D4"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 critical event which with proper management can be endured. May involve some changes in management.</w:t>
            </w:r>
          </w:p>
        </w:tc>
        <w:tc>
          <w:tcPr>
            <w:tcW w:w="2261" w:type="dxa"/>
            <w:tcBorders>
              <w:top w:val="single" w:sz="8" w:space="0" w:color="C0C0C0"/>
              <w:left w:val="single" w:sz="8" w:space="0" w:color="C0C0C0"/>
              <w:bottom w:val="single" w:sz="8" w:space="0" w:color="C0C0C0"/>
              <w:right w:val="single" w:sz="12" w:space="0" w:color="C0C0C0"/>
            </w:tcBorders>
          </w:tcPr>
          <w:p w14:paraId="0449BBC1"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An event so severe in nature that it leads to a change in the management structure.</w:t>
            </w:r>
          </w:p>
        </w:tc>
      </w:tr>
      <w:tr w:rsidR="00F80129" w:rsidRPr="00F80129" w14:paraId="77F8258E" w14:textId="77777777" w:rsidTr="00391651">
        <w:tc>
          <w:tcPr>
            <w:tcW w:w="2260" w:type="dxa"/>
            <w:tcBorders>
              <w:top w:val="nil"/>
              <w:left w:val="single" w:sz="24" w:space="0" w:color="auto"/>
              <w:bottom w:val="single" w:sz="18" w:space="0" w:color="FFFFFF"/>
              <w:right w:val="single" w:sz="18" w:space="0" w:color="FFFFFF"/>
            </w:tcBorders>
            <w:shd w:val="clear" w:color="auto" w:fill="CC99FF"/>
          </w:tcPr>
          <w:p w14:paraId="79CEDD04" w14:textId="77777777" w:rsidR="00F80129" w:rsidRPr="00F80129" w:rsidRDefault="00F80129" w:rsidP="00391651">
            <w:pPr>
              <w:spacing w:before="120" w:after="120"/>
              <w:rPr>
                <w:rFonts w:ascii="Calibri" w:hAnsi="Calibri" w:cs="Calibri"/>
                <w:b/>
                <w:sz w:val="20"/>
              </w:rPr>
            </w:pPr>
            <w:r w:rsidRPr="00F80129">
              <w:rPr>
                <w:rFonts w:ascii="Calibri" w:hAnsi="Calibri" w:cs="Calibri"/>
                <w:b/>
                <w:sz w:val="20"/>
              </w:rPr>
              <w:t>Health &amp; Safety</w:t>
            </w:r>
          </w:p>
        </w:tc>
        <w:tc>
          <w:tcPr>
            <w:tcW w:w="2260" w:type="dxa"/>
            <w:tcBorders>
              <w:top w:val="single" w:sz="8" w:space="0" w:color="C0C0C0"/>
              <w:left w:val="single" w:sz="18" w:space="0" w:color="FFFFFF"/>
              <w:bottom w:val="single" w:sz="12" w:space="0" w:color="C0C0C0"/>
              <w:right w:val="single" w:sz="8" w:space="0" w:color="C0C0C0"/>
            </w:tcBorders>
          </w:tcPr>
          <w:p w14:paraId="1001CCB4"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Minor incidents.</w:t>
            </w:r>
          </w:p>
        </w:tc>
        <w:tc>
          <w:tcPr>
            <w:tcW w:w="2260" w:type="dxa"/>
            <w:tcBorders>
              <w:top w:val="single" w:sz="8" w:space="0" w:color="C0C0C0"/>
              <w:left w:val="single" w:sz="8" w:space="0" w:color="C0C0C0"/>
              <w:bottom w:val="single" w:sz="12" w:space="0" w:color="C0C0C0"/>
              <w:right w:val="single" w:sz="8" w:space="0" w:color="C0C0C0"/>
            </w:tcBorders>
          </w:tcPr>
          <w:p w14:paraId="3016DEBF"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Medical treatment required for injury or illness.</w:t>
            </w:r>
          </w:p>
        </w:tc>
        <w:tc>
          <w:tcPr>
            <w:tcW w:w="2260" w:type="dxa"/>
            <w:tcBorders>
              <w:top w:val="single" w:sz="8" w:space="0" w:color="C0C0C0"/>
              <w:left w:val="single" w:sz="8" w:space="0" w:color="C0C0C0"/>
              <w:bottom w:val="single" w:sz="12" w:space="0" w:color="C0C0C0"/>
              <w:right w:val="single" w:sz="8" w:space="0" w:color="C0C0C0"/>
            </w:tcBorders>
          </w:tcPr>
          <w:p w14:paraId="786C188E"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Alternate duties required for significant injury or illness</w:t>
            </w:r>
          </w:p>
        </w:tc>
        <w:tc>
          <w:tcPr>
            <w:tcW w:w="2261" w:type="dxa"/>
            <w:tcBorders>
              <w:top w:val="single" w:sz="8" w:space="0" w:color="C0C0C0"/>
              <w:left w:val="single" w:sz="8" w:space="0" w:color="C0C0C0"/>
              <w:bottom w:val="single" w:sz="12" w:space="0" w:color="C0C0C0"/>
              <w:right w:val="single" w:sz="8" w:space="0" w:color="C0C0C0"/>
            </w:tcBorders>
          </w:tcPr>
          <w:p w14:paraId="65F6F140"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Serious illness/injury.  Lost time due to extensive time-off from injury or illness.</w:t>
            </w:r>
          </w:p>
        </w:tc>
        <w:tc>
          <w:tcPr>
            <w:tcW w:w="2261" w:type="dxa"/>
            <w:tcBorders>
              <w:top w:val="single" w:sz="8" w:space="0" w:color="C0C0C0"/>
              <w:left w:val="single" w:sz="8" w:space="0" w:color="C0C0C0"/>
              <w:bottom w:val="single" w:sz="12" w:space="0" w:color="C0C0C0"/>
              <w:right w:val="single" w:sz="12" w:space="0" w:color="C0C0C0"/>
            </w:tcBorders>
          </w:tcPr>
          <w:p w14:paraId="4D921338" w14:textId="77777777" w:rsidR="00F80129" w:rsidRPr="00F80129" w:rsidRDefault="00F80129" w:rsidP="00391651">
            <w:pPr>
              <w:spacing w:before="120" w:after="120"/>
              <w:rPr>
                <w:rFonts w:ascii="Calibri" w:hAnsi="Calibri" w:cs="Calibri"/>
                <w:sz w:val="20"/>
              </w:rPr>
            </w:pPr>
            <w:r w:rsidRPr="00F80129">
              <w:rPr>
                <w:rFonts w:ascii="Calibri" w:hAnsi="Calibri" w:cs="Calibri"/>
                <w:sz w:val="20"/>
              </w:rPr>
              <w:t xml:space="preserve">Fatality or permanent disabling injury/illness. </w:t>
            </w:r>
          </w:p>
        </w:tc>
      </w:tr>
    </w:tbl>
    <w:p w14:paraId="05C5AD1A" w14:textId="77777777" w:rsidR="00F80129" w:rsidRPr="00F80129" w:rsidRDefault="00F80129">
      <w:pPr>
        <w:rPr>
          <w:rFonts w:ascii="Calibri" w:hAnsi="Calibri" w:cs="Calibri"/>
          <w:szCs w:val="22"/>
        </w:rPr>
        <w:sectPr w:rsidR="00F80129" w:rsidRPr="00F80129">
          <w:pgSz w:w="11906" w:h="16838"/>
          <w:pgMar w:top="1440" w:right="1440" w:bottom="1440" w:left="1440" w:header="708" w:footer="708" w:gutter="0"/>
          <w:cols w:space="708"/>
          <w:docGrid w:linePitch="360"/>
        </w:sectPr>
      </w:pPr>
    </w:p>
    <w:p w14:paraId="5516B439" w14:textId="0C2195F3" w:rsidR="00F80129" w:rsidRPr="00F80129" w:rsidRDefault="00F80129">
      <w:pPr>
        <w:rPr>
          <w:rFonts w:ascii="Calibri" w:hAnsi="Calibri" w:cs="Calibri"/>
          <w:b/>
          <w:bCs/>
          <w:szCs w:val="22"/>
        </w:rPr>
      </w:pPr>
      <w:r w:rsidRPr="00F80129">
        <w:rPr>
          <w:rFonts w:ascii="Calibri" w:hAnsi="Calibri" w:cs="Calibri"/>
          <w:b/>
          <w:bCs/>
          <w:szCs w:val="22"/>
        </w:rPr>
        <w:lastRenderedPageBreak/>
        <w:t>Extract – HLNT Business Continuity Plan</w:t>
      </w:r>
    </w:p>
    <w:tbl>
      <w:tblPr>
        <w:tblStyle w:val="TableGrid"/>
        <w:tblW w:w="15309" w:type="dxa"/>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0"/>
        <w:gridCol w:w="1128"/>
        <w:gridCol w:w="2155"/>
        <w:gridCol w:w="2241"/>
        <w:gridCol w:w="2147"/>
        <w:gridCol w:w="2252"/>
        <w:gridCol w:w="2329"/>
        <w:gridCol w:w="2247"/>
      </w:tblGrid>
      <w:tr w:rsidR="00F80129" w:rsidRPr="00F80129" w14:paraId="5E3FCBF9" w14:textId="77777777" w:rsidTr="00391651">
        <w:tc>
          <w:tcPr>
            <w:tcW w:w="15309" w:type="dxa"/>
            <w:gridSpan w:val="8"/>
            <w:shd w:val="clear" w:color="auto" w:fill="D9F2D0" w:themeFill="accent6" w:themeFillTint="33"/>
          </w:tcPr>
          <w:p w14:paraId="23325DA8"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Strategic and Operational Risk Assessment Matrix</w:t>
            </w:r>
          </w:p>
        </w:tc>
      </w:tr>
      <w:tr w:rsidR="00F80129" w:rsidRPr="00F80129" w14:paraId="7E79E3A5" w14:textId="77777777" w:rsidTr="00391651">
        <w:tc>
          <w:tcPr>
            <w:tcW w:w="15309" w:type="dxa"/>
            <w:gridSpan w:val="8"/>
          </w:tcPr>
          <w:p w14:paraId="5080F668"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CONSEQUENCE (Impact) Rating Guide</w:t>
            </w:r>
          </w:p>
        </w:tc>
      </w:tr>
      <w:tr w:rsidR="00F80129" w:rsidRPr="00F80129" w14:paraId="642FF715" w14:textId="77777777" w:rsidTr="00391651">
        <w:tc>
          <w:tcPr>
            <w:tcW w:w="814" w:type="dxa"/>
            <w:shd w:val="clear" w:color="auto" w:fill="FAE2D5" w:themeFill="accent2" w:themeFillTint="33"/>
          </w:tcPr>
          <w:p w14:paraId="251F386A"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Level</w:t>
            </w:r>
          </w:p>
        </w:tc>
        <w:tc>
          <w:tcPr>
            <w:tcW w:w="1023" w:type="dxa"/>
            <w:shd w:val="clear" w:color="auto" w:fill="FAE2D5" w:themeFill="accent2" w:themeFillTint="33"/>
          </w:tcPr>
          <w:p w14:paraId="39C3FD92"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Category</w:t>
            </w:r>
          </w:p>
        </w:tc>
        <w:tc>
          <w:tcPr>
            <w:tcW w:w="2169" w:type="dxa"/>
            <w:shd w:val="clear" w:color="auto" w:fill="FAE2D5" w:themeFill="accent2" w:themeFillTint="33"/>
          </w:tcPr>
          <w:p w14:paraId="2EE39352"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Clinical</w:t>
            </w:r>
          </w:p>
        </w:tc>
        <w:tc>
          <w:tcPr>
            <w:tcW w:w="2260" w:type="dxa"/>
            <w:shd w:val="clear" w:color="auto" w:fill="FAE2D5" w:themeFill="accent2" w:themeFillTint="33"/>
          </w:tcPr>
          <w:p w14:paraId="6B977CFD"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Financial/ Funding</w:t>
            </w:r>
          </w:p>
        </w:tc>
        <w:tc>
          <w:tcPr>
            <w:tcW w:w="2163" w:type="dxa"/>
            <w:shd w:val="clear" w:color="auto" w:fill="FAE2D5" w:themeFill="accent2" w:themeFillTint="33"/>
          </w:tcPr>
          <w:p w14:paraId="2DA2EBB3"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People</w:t>
            </w:r>
          </w:p>
        </w:tc>
        <w:tc>
          <w:tcPr>
            <w:tcW w:w="2271" w:type="dxa"/>
            <w:shd w:val="clear" w:color="auto" w:fill="FAE2D5" w:themeFill="accent2" w:themeFillTint="33"/>
          </w:tcPr>
          <w:p w14:paraId="5E38FA2F"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Legal/ Regulatory</w:t>
            </w:r>
          </w:p>
        </w:tc>
        <w:tc>
          <w:tcPr>
            <w:tcW w:w="2345" w:type="dxa"/>
            <w:shd w:val="clear" w:color="auto" w:fill="FAE2D5" w:themeFill="accent2" w:themeFillTint="33"/>
          </w:tcPr>
          <w:p w14:paraId="4AE2B3D7"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HLNT/ Consumer</w:t>
            </w:r>
          </w:p>
        </w:tc>
        <w:tc>
          <w:tcPr>
            <w:tcW w:w="2264" w:type="dxa"/>
            <w:shd w:val="clear" w:color="auto" w:fill="FAE2D5" w:themeFill="accent2" w:themeFillTint="33"/>
          </w:tcPr>
          <w:p w14:paraId="761A25FB"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Reputation</w:t>
            </w:r>
          </w:p>
        </w:tc>
      </w:tr>
      <w:tr w:rsidR="00F80129" w:rsidRPr="00F80129" w14:paraId="08E80B5F" w14:textId="77777777" w:rsidTr="00391651">
        <w:tc>
          <w:tcPr>
            <w:tcW w:w="814" w:type="dxa"/>
            <w:shd w:val="clear" w:color="auto" w:fill="FAE2D5" w:themeFill="accent2" w:themeFillTint="33"/>
          </w:tcPr>
          <w:p w14:paraId="1F26C5DC"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1</w:t>
            </w:r>
          </w:p>
        </w:tc>
        <w:tc>
          <w:tcPr>
            <w:tcW w:w="1023" w:type="dxa"/>
          </w:tcPr>
          <w:p w14:paraId="2D814B9C"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Insignificant</w:t>
            </w:r>
          </w:p>
        </w:tc>
        <w:tc>
          <w:tcPr>
            <w:tcW w:w="2169" w:type="dxa"/>
          </w:tcPr>
          <w:p w14:paraId="543E6C79"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Negligible clinical event resolved without impact to HLNT or client</w:t>
            </w:r>
          </w:p>
        </w:tc>
        <w:tc>
          <w:tcPr>
            <w:tcW w:w="2260" w:type="dxa"/>
          </w:tcPr>
          <w:p w14:paraId="79D43EC3"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Minor funding cut</w:t>
            </w:r>
          </w:p>
        </w:tc>
        <w:tc>
          <w:tcPr>
            <w:tcW w:w="2163" w:type="dxa"/>
          </w:tcPr>
          <w:p w14:paraId="5E78B2C1"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Minor incidents</w:t>
            </w:r>
          </w:p>
        </w:tc>
        <w:tc>
          <w:tcPr>
            <w:tcW w:w="2271" w:type="dxa"/>
          </w:tcPr>
          <w:p w14:paraId="576E6FF4"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Minor breaches by individual staff members</w:t>
            </w:r>
          </w:p>
        </w:tc>
        <w:tc>
          <w:tcPr>
            <w:tcW w:w="2345" w:type="dxa"/>
          </w:tcPr>
          <w:p w14:paraId="42C9B550"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 xml:space="preserve">An event which can be absorbed through normal activity. Negligible impact on delivery of services. </w:t>
            </w:r>
          </w:p>
        </w:tc>
        <w:tc>
          <w:tcPr>
            <w:tcW w:w="2264" w:type="dxa"/>
          </w:tcPr>
          <w:p w14:paraId="4F3D9774"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Letters or minor articles / mention in local media. No reputation impact</w:t>
            </w:r>
          </w:p>
        </w:tc>
      </w:tr>
      <w:tr w:rsidR="00F80129" w:rsidRPr="00F80129" w14:paraId="0376CA46" w14:textId="77777777" w:rsidTr="00391651">
        <w:tc>
          <w:tcPr>
            <w:tcW w:w="814" w:type="dxa"/>
            <w:shd w:val="clear" w:color="auto" w:fill="FAE2D5" w:themeFill="accent2" w:themeFillTint="33"/>
          </w:tcPr>
          <w:p w14:paraId="4908E0E7"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2</w:t>
            </w:r>
          </w:p>
        </w:tc>
        <w:tc>
          <w:tcPr>
            <w:tcW w:w="1023" w:type="dxa"/>
          </w:tcPr>
          <w:p w14:paraId="74A8C9E4"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Minor</w:t>
            </w:r>
          </w:p>
        </w:tc>
        <w:tc>
          <w:tcPr>
            <w:tcW w:w="2169" w:type="dxa"/>
          </w:tcPr>
          <w:p w14:paraId="0A563714"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Clinical event resolved with minimal short term impact on client and HLNT</w:t>
            </w:r>
          </w:p>
        </w:tc>
        <w:tc>
          <w:tcPr>
            <w:tcW w:w="2260" w:type="dxa"/>
          </w:tcPr>
          <w:p w14:paraId="288BA880"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Delay or reduction in funding and cannot be offset from other sources</w:t>
            </w:r>
          </w:p>
        </w:tc>
        <w:tc>
          <w:tcPr>
            <w:tcW w:w="2163" w:type="dxa"/>
          </w:tcPr>
          <w:p w14:paraId="10CBECC0"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Medical treatment required for injury or illness</w:t>
            </w:r>
          </w:p>
        </w:tc>
        <w:tc>
          <w:tcPr>
            <w:tcW w:w="2271" w:type="dxa"/>
          </w:tcPr>
          <w:p w14:paraId="7A4648B4"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One-off minor regulatory or legal failure. No fine. No disruption to operations</w:t>
            </w:r>
          </w:p>
        </w:tc>
        <w:tc>
          <w:tcPr>
            <w:tcW w:w="2345" w:type="dxa"/>
          </w:tcPr>
          <w:p w14:paraId="7560221D"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An event which can be absorbed but additional management effort required. Limited impact on delivery of services to consumers.</w:t>
            </w:r>
          </w:p>
        </w:tc>
        <w:tc>
          <w:tcPr>
            <w:tcW w:w="2264" w:type="dxa"/>
          </w:tcPr>
          <w:p w14:paraId="0409B524"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Series of articles in local media. Temporary minor negative impact on reputation</w:t>
            </w:r>
          </w:p>
        </w:tc>
      </w:tr>
      <w:tr w:rsidR="00F80129" w:rsidRPr="00F80129" w14:paraId="79DAAE2E" w14:textId="77777777" w:rsidTr="00391651">
        <w:tc>
          <w:tcPr>
            <w:tcW w:w="814" w:type="dxa"/>
            <w:shd w:val="clear" w:color="auto" w:fill="FAE2D5" w:themeFill="accent2" w:themeFillTint="33"/>
          </w:tcPr>
          <w:p w14:paraId="7F3A88A3"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3</w:t>
            </w:r>
          </w:p>
        </w:tc>
        <w:tc>
          <w:tcPr>
            <w:tcW w:w="1023" w:type="dxa"/>
          </w:tcPr>
          <w:p w14:paraId="0398D1AD"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Moderate</w:t>
            </w:r>
          </w:p>
        </w:tc>
        <w:tc>
          <w:tcPr>
            <w:tcW w:w="2169" w:type="dxa"/>
          </w:tcPr>
          <w:p w14:paraId="18B08216"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Clinical event resulting in temporary impact with considerable effect on client or HLNT. Internal investigation required</w:t>
            </w:r>
          </w:p>
        </w:tc>
        <w:tc>
          <w:tcPr>
            <w:tcW w:w="2260" w:type="dxa"/>
          </w:tcPr>
          <w:p w14:paraId="467B4E39"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Significant event which leads to permanent loss of funding (over 10%)</w:t>
            </w:r>
          </w:p>
        </w:tc>
        <w:tc>
          <w:tcPr>
            <w:tcW w:w="2163" w:type="dxa"/>
          </w:tcPr>
          <w:p w14:paraId="0374BE72"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Alternate duties required for significant injury or illness</w:t>
            </w:r>
          </w:p>
        </w:tc>
        <w:tc>
          <w:tcPr>
            <w:tcW w:w="2271" w:type="dxa"/>
          </w:tcPr>
          <w:p w14:paraId="30BAD7CF"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Fine, but no disruption to operations. Repeated failure</w:t>
            </w:r>
          </w:p>
        </w:tc>
        <w:tc>
          <w:tcPr>
            <w:tcW w:w="2345" w:type="dxa"/>
          </w:tcPr>
          <w:p w14:paraId="0AF5E31D"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Significant event which can be managed under normal circumstances. Moderate impact on consumer services. Temporary loss of important information</w:t>
            </w:r>
          </w:p>
        </w:tc>
        <w:tc>
          <w:tcPr>
            <w:tcW w:w="2264" w:type="dxa"/>
          </w:tcPr>
          <w:p w14:paraId="16168AE2"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Short term Territory-wide or extensive local negative media. Short term reputation damage</w:t>
            </w:r>
          </w:p>
        </w:tc>
      </w:tr>
      <w:tr w:rsidR="00F80129" w:rsidRPr="00F80129" w14:paraId="62820579" w14:textId="77777777" w:rsidTr="00391651">
        <w:tc>
          <w:tcPr>
            <w:tcW w:w="814" w:type="dxa"/>
            <w:shd w:val="clear" w:color="auto" w:fill="FAE2D5" w:themeFill="accent2" w:themeFillTint="33"/>
          </w:tcPr>
          <w:p w14:paraId="55590FBF"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4</w:t>
            </w:r>
          </w:p>
        </w:tc>
        <w:tc>
          <w:tcPr>
            <w:tcW w:w="1023" w:type="dxa"/>
          </w:tcPr>
          <w:p w14:paraId="54BE0819"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Major</w:t>
            </w:r>
          </w:p>
        </w:tc>
        <w:tc>
          <w:tcPr>
            <w:tcW w:w="2169" w:type="dxa"/>
          </w:tcPr>
          <w:p w14:paraId="19498EA3"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Clinical event resulting in serious permanent impact, requiring medico / legal investigation. Activation of insurance</w:t>
            </w:r>
          </w:p>
        </w:tc>
        <w:tc>
          <w:tcPr>
            <w:tcW w:w="2260" w:type="dxa"/>
          </w:tcPr>
          <w:p w14:paraId="35F1B7BE"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Critical cut to the amount of budgeted funding (over 25%)</w:t>
            </w:r>
          </w:p>
        </w:tc>
        <w:tc>
          <w:tcPr>
            <w:tcW w:w="2163" w:type="dxa"/>
          </w:tcPr>
          <w:p w14:paraId="1522B42A"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Serious illness / injury. Lost time due to extensive time off.</w:t>
            </w:r>
          </w:p>
        </w:tc>
        <w:tc>
          <w:tcPr>
            <w:tcW w:w="2271" w:type="dxa"/>
          </w:tcPr>
          <w:p w14:paraId="6F667550"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Systemic legal, regulatory or legal failure with major penalty requiring internal inquiry and external review</w:t>
            </w:r>
          </w:p>
        </w:tc>
        <w:tc>
          <w:tcPr>
            <w:tcW w:w="2345" w:type="dxa"/>
          </w:tcPr>
          <w:p w14:paraId="48AF77E5"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Critical event which can be endured with proper management. Major impact on service delivery. Temporary loss of critical information</w:t>
            </w:r>
          </w:p>
        </w:tc>
        <w:tc>
          <w:tcPr>
            <w:tcW w:w="2264" w:type="dxa"/>
          </w:tcPr>
          <w:p w14:paraId="0E977385"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Extensive Territory wide negative media coverage.</w:t>
            </w:r>
          </w:p>
          <w:p w14:paraId="63377B4C"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Breakdown in key relationships e.g. Loss of referrers</w:t>
            </w:r>
          </w:p>
        </w:tc>
      </w:tr>
      <w:tr w:rsidR="00F80129" w:rsidRPr="00F80129" w14:paraId="323162FD" w14:textId="77777777" w:rsidTr="00391651">
        <w:tc>
          <w:tcPr>
            <w:tcW w:w="814" w:type="dxa"/>
            <w:shd w:val="clear" w:color="auto" w:fill="FAE2D5" w:themeFill="accent2" w:themeFillTint="33"/>
          </w:tcPr>
          <w:p w14:paraId="3118DE41" w14:textId="77777777" w:rsidR="00F80129" w:rsidRPr="00F80129" w:rsidRDefault="00F80129" w:rsidP="00391651">
            <w:pPr>
              <w:pStyle w:val="ListParagraph"/>
              <w:spacing w:before="120" w:after="120"/>
              <w:ind w:left="0" w:right="-23"/>
              <w:contextualSpacing w:val="0"/>
              <w:jc w:val="center"/>
              <w:rPr>
                <w:rFonts w:ascii="Calibri" w:hAnsi="Calibri" w:cs="Calibri"/>
                <w:b/>
                <w:bCs/>
                <w:sz w:val="18"/>
                <w:szCs w:val="18"/>
              </w:rPr>
            </w:pPr>
            <w:r w:rsidRPr="00F80129">
              <w:rPr>
                <w:rFonts w:ascii="Calibri" w:hAnsi="Calibri" w:cs="Calibri"/>
                <w:b/>
                <w:bCs/>
                <w:sz w:val="18"/>
                <w:szCs w:val="18"/>
              </w:rPr>
              <w:t>5</w:t>
            </w:r>
          </w:p>
        </w:tc>
        <w:tc>
          <w:tcPr>
            <w:tcW w:w="1023" w:type="dxa"/>
          </w:tcPr>
          <w:p w14:paraId="221341A7" w14:textId="77777777" w:rsidR="00F80129" w:rsidRPr="00F80129" w:rsidRDefault="00F80129" w:rsidP="00391651">
            <w:pPr>
              <w:pStyle w:val="ListParagraph"/>
              <w:spacing w:before="120" w:after="120"/>
              <w:ind w:left="0" w:right="-23"/>
              <w:contextualSpacing w:val="0"/>
              <w:jc w:val="both"/>
              <w:rPr>
                <w:rFonts w:ascii="Calibri" w:hAnsi="Calibri" w:cs="Calibri"/>
                <w:b/>
                <w:bCs/>
                <w:sz w:val="18"/>
                <w:szCs w:val="18"/>
              </w:rPr>
            </w:pPr>
            <w:r w:rsidRPr="00F80129">
              <w:rPr>
                <w:rFonts w:ascii="Calibri" w:hAnsi="Calibri" w:cs="Calibri"/>
                <w:b/>
                <w:bCs/>
                <w:sz w:val="18"/>
                <w:szCs w:val="18"/>
              </w:rPr>
              <w:t>Extreme</w:t>
            </w:r>
          </w:p>
        </w:tc>
        <w:tc>
          <w:tcPr>
            <w:tcW w:w="2169" w:type="dxa"/>
          </w:tcPr>
          <w:p w14:paraId="57CA5592"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Failure in clinical governance processes and systems. Funder intervention. Significant penalties or compensation payments</w:t>
            </w:r>
          </w:p>
        </w:tc>
        <w:tc>
          <w:tcPr>
            <w:tcW w:w="2260" w:type="dxa"/>
          </w:tcPr>
          <w:p w14:paraId="08419AD5"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Funding ceases altogether</w:t>
            </w:r>
          </w:p>
        </w:tc>
        <w:tc>
          <w:tcPr>
            <w:tcW w:w="2163" w:type="dxa"/>
          </w:tcPr>
          <w:p w14:paraId="57DD9A38"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Fatality or permanent disabling injury/illness</w:t>
            </w:r>
          </w:p>
        </w:tc>
        <w:tc>
          <w:tcPr>
            <w:tcW w:w="2271" w:type="dxa"/>
          </w:tcPr>
          <w:p w14:paraId="6B724310"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Substantial failure in internal governance and control structures. Significant disruption to operations over an extended period</w:t>
            </w:r>
          </w:p>
        </w:tc>
        <w:tc>
          <w:tcPr>
            <w:tcW w:w="2345" w:type="dxa"/>
          </w:tcPr>
          <w:p w14:paraId="1983AC29"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 xml:space="preserve">A severe event requiring changes to management structure. Significant impact of service delivery. Permanent loss of critical information. </w:t>
            </w:r>
          </w:p>
        </w:tc>
        <w:tc>
          <w:tcPr>
            <w:tcW w:w="2264" w:type="dxa"/>
          </w:tcPr>
          <w:p w14:paraId="6B70515F"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Extensive nation-wide negative media coverage.</w:t>
            </w:r>
          </w:p>
          <w:p w14:paraId="4EEE975B" w14:textId="77777777" w:rsidR="00F80129" w:rsidRPr="00F80129" w:rsidRDefault="00F80129" w:rsidP="00391651">
            <w:pPr>
              <w:pStyle w:val="ListParagraph"/>
              <w:spacing w:before="120" w:after="120"/>
              <w:ind w:left="0" w:right="-23"/>
              <w:contextualSpacing w:val="0"/>
              <w:jc w:val="both"/>
              <w:rPr>
                <w:rFonts w:ascii="Calibri" w:hAnsi="Calibri" w:cs="Calibri"/>
                <w:sz w:val="18"/>
                <w:szCs w:val="18"/>
              </w:rPr>
            </w:pPr>
            <w:r w:rsidRPr="00F80129">
              <w:rPr>
                <w:rFonts w:ascii="Calibri" w:hAnsi="Calibri" w:cs="Calibri"/>
                <w:sz w:val="18"/>
                <w:szCs w:val="18"/>
              </w:rPr>
              <w:t>Loss of community and funder confidence</w:t>
            </w:r>
          </w:p>
        </w:tc>
      </w:tr>
    </w:tbl>
    <w:p w14:paraId="0005AB8A" w14:textId="77777777" w:rsidR="00F80129" w:rsidRPr="00F80129" w:rsidRDefault="00F80129" w:rsidP="00F80129">
      <w:pPr>
        <w:rPr>
          <w:rFonts w:ascii="Calibri" w:hAnsi="Calibri" w:cs="Calibri"/>
          <w:szCs w:val="22"/>
        </w:rPr>
      </w:pPr>
    </w:p>
    <w:sectPr w:rsidR="00F80129" w:rsidRPr="00F80129" w:rsidSect="00F801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29"/>
    <w:rsid w:val="00186C7D"/>
    <w:rsid w:val="001F4A60"/>
    <w:rsid w:val="003C58C7"/>
    <w:rsid w:val="00463FB6"/>
    <w:rsid w:val="00D62820"/>
    <w:rsid w:val="00F801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9345"/>
  <w15:chartTrackingRefBased/>
  <w15:docId w15:val="{EF661336-75B4-4D42-AE2B-0BDF8D9B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29"/>
    <w:pPr>
      <w:spacing w:after="0" w:line="240"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uiPriority w:val="9"/>
    <w:qFormat/>
    <w:rsid w:val="00F80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1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1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1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1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129"/>
    <w:rPr>
      <w:rFonts w:eastAsiaTheme="majorEastAsia" w:cstheme="majorBidi"/>
      <w:color w:val="272727" w:themeColor="text1" w:themeTint="D8"/>
    </w:rPr>
  </w:style>
  <w:style w:type="paragraph" w:styleId="Title">
    <w:name w:val="Title"/>
    <w:basedOn w:val="Normal"/>
    <w:next w:val="Normal"/>
    <w:link w:val="TitleChar"/>
    <w:uiPriority w:val="10"/>
    <w:qFormat/>
    <w:rsid w:val="00F801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129"/>
    <w:pPr>
      <w:spacing w:before="160"/>
      <w:jc w:val="center"/>
    </w:pPr>
    <w:rPr>
      <w:i/>
      <w:iCs/>
      <w:color w:val="404040" w:themeColor="text1" w:themeTint="BF"/>
    </w:rPr>
  </w:style>
  <w:style w:type="character" w:customStyle="1" w:styleId="QuoteChar">
    <w:name w:val="Quote Char"/>
    <w:basedOn w:val="DefaultParagraphFont"/>
    <w:link w:val="Quote"/>
    <w:uiPriority w:val="29"/>
    <w:rsid w:val="00F80129"/>
    <w:rPr>
      <w:i/>
      <w:iCs/>
      <w:color w:val="404040" w:themeColor="text1" w:themeTint="BF"/>
    </w:rPr>
  </w:style>
  <w:style w:type="paragraph" w:styleId="ListParagraph">
    <w:name w:val="List Paragraph"/>
    <w:basedOn w:val="Normal"/>
    <w:link w:val="ListParagraphChar"/>
    <w:uiPriority w:val="1"/>
    <w:qFormat/>
    <w:rsid w:val="00F80129"/>
    <w:pPr>
      <w:ind w:left="720"/>
      <w:contextualSpacing/>
    </w:pPr>
  </w:style>
  <w:style w:type="character" w:styleId="IntenseEmphasis">
    <w:name w:val="Intense Emphasis"/>
    <w:basedOn w:val="DefaultParagraphFont"/>
    <w:uiPriority w:val="21"/>
    <w:qFormat/>
    <w:rsid w:val="00F80129"/>
    <w:rPr>
      <w:i/>
      <w:iCs/>
      <w:color w:val="0F4761" w:themeColor="accent1" w:themeShade="BF"/>
    </w:rPr>
  </w:style>
  <w:style w:type="paragraph" w:styleId="IntenseQuote">
    <w:name w:val="Intense Quote"/>
    <w:basedOn w:val="Normal"/>
    <w:next w:val="Normal"/>
    <w:link w:val="IntenseQuoteChar"/>
    <w:uiPriority w:val="30"/>
    <w:qFormat/>
    <w:rsid w:val="00F80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129"/>
    <w:rPr>
      <w:i/>
      <w:iCs/>
      <w:color w:val="0F4761" w:themeColor="accent1" w:themeShade="BF"/>
    </w:rPr>
  </w:style>
  <w:style w:type="character" w:styleId="IntenseReference">
    <w:name w:val="Intense Reference"/>
    <w:basedOn w:val="DefaultParagraphFont"/>
    <w:uiPriority w:val="32"/>
    <w:qFormat/>
    <w:rsid w:val="00F80129"/>
    <w:rPr>
      <w:b/>
      <w:bCs/>
      <w:smallCaps/>
      <w:color w:val="0F4761" w:themeColor="accent1" w:themeShade="BF"/>
      <w:spacing w:val="5"/>
    </w:rPr>
  </w:style>
  <w:style w:type="table" w:styleId="TableGrid">
    <w:name w:val="Table Grid"/>
    <w:basedOn w:val="TableNormal"/>
    <w:uiPriority w:val="39"/>
    <w:rsid w:val="00F8012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F80129"/>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Kemp</dc:creator>
  <cp:keywords/>
  <dc:description/>
  <cp:lastModifiedBy>Anne Kemp</cp:lastModifiedBy>
  <cp:revision>2</cp:revision>
  <dcterms:created xsi:type="dcterms:W3CDTF">2026-03-17T03:00:00Z</dcterms:created>
  <dcterms:modified xsi:type="dcterms:W3CDTF">2026-03-17T03:00:00Z</dcterms:modified>
</cp:coreProperties>
</file>